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CF378" w14:textId="77777777" w:rsidR="002E5DC6" w:rsidRDefault="002E5DC6" w:rsidP="002E5DC6">
      <w:pPr>
        <w:rPr>
          <w:rFonts w:ascii="微软雅黑" w:eastAsia="微软雅黑" w:hAnsi="微软雅黑"/>
          <w:sz w:val="22"/>
          <w:szCs w:val="22"/>
        </w:rPr>
      </w:pPr>
      <w:r>
        <w:rPr>
          <w:rFonts w:ascii="微软雅黑" w:eastAsia="微软雅黑" w:hAnsi="微软雅黑" w:hint="eastAsia"/>
          <w:sz w:val="22"/>
          <w:szCs w:val="22"/>
        </w:rPr>
        <w:t>新闻稿</w:t>
      </w:r>
    </w:p>
    <w:p w14:paraId="0807761A" w14:textId="5409C6DE" w:rsidR="002E5DC6" w:rsidRPr="002E5DC6" w:rsidRDefault="002E5DC6" w:rsidP="002E5DC6">
      <w:pPr>
        <w:rPr>
          <w:rFonts w:ascii="微软雅黑" w:eastAsia="微软雅黑" w:hAnsi="微软雅黑"/>
          <w:sz w:val="22"/>
          <w:szCs w:val="22"/>
        </w:rPr>
      </w:pPr>
      <w:r>
        <w:rPr>
          <w:rFonts w:ascii="微软雅黑" w:eastAsia="微软雅黑" w:hAnsi="微软雅黑"/>
          <w:sz w:val="22"/>
          <w:szCs w:val="22"/>
        </w:rPr>
        <w:t>2021年7月15日</w:t>
      </w:r>
    </w:p>
    <w:p w14:paraId="54CE5B89" w14:textId="4B1BC4F5" w:rsidR="00745A9B" w:rsidRDefault="00C926E3">
      <w:pPr>
        <w:spacing w:beforeLines="50" w:before="156" w:afterLines="50" w:after="156" w:line="360" w:lineRule="auto"/>
        <w:jc w:val="center"/>
        <w:rPr>
          <w:rFonts w:ascii="微软雅黑" w:eastAsia="微软雅黑" w:hAnsi="微软雅黑"/>
          <w:b/>
          <w:sz w:val="28"/>
          <w:szCs w:val="28"/>
        </w:rPr>
      </w:pPr>
      <w:r>
        <w:rPr>
          <w:rFonts w:ascii="微软雅黑" w:eastAsia="微软雅黑" w:hAnsi="微软雅黑" w:hint="eastAsia"/>
          <w:b/>
          <w:sz w:val="28"/>
          <w:szCs w:val="28"/>
        </w:rPr>
        <w:t>向</w:t>
      </w:r>
      <w:r>
        <w:rPr>
          <w:rFonts w:ascii="微软雅黑" w:eastAsia="微软雅黑" w:hAnsi="微软雅黑"/>
          <w:b/>
          <w:sz w:val="28"/>
          <w:szCs w:val="28"/>
        </w:rPr>
        <w:t>快卜交付首台爱驰</w:t>
      </w:r>
      <w:r>
        <w:rPr>
          <w:rFonts w:ascii="微软雅黑" w:eastAsia="微软雅黑" w:hAnsi="微软雅黑" w:hint="eastAsia"/>
          <w:b/>
          <w:sz w:val="28"/>
          <w:szCs w:val="28"/>
        </w:rPr>
        <w:t xml:space="preserve">U5 </w:t>
      </w:r>
      <w:r>
        <w:rPr>
          <w:rFonts w:ascii="微软雅黑" w:eastAsia="微软雅黑" w:hAnsi="微软雅黑"/>
          <w:b/>
          <w:sz w:val="28"/>
          <w:szCs w:val="28"/>
        </w:rPr>
        <w:t xml:space="preserve"> </w:t>
      </w:r>
      <w:r w:rsidR="002E5DC6">
        <w:rPr>
          <w:rFonts w:ascii="微软雅黑" w:eastAsia="微软雅黑" w:hAnsi="微软雅黑" w:hint="eastAsia"/>
          <w:b/>
          <w:sz w:val="28"/>
          <w:szCs w:val="28"/>
        </w:rPr>
        <w:t>爱驰</w:t>
      </w:r>
      <w:r>
        <w:rPr>
          <w:rFonts w:ascii="微软雅黑" w:eastAsia="微软雅黑" w:hAnsi="微软雅黑" w:hint="eastAsia"/>
          <w:b/>
          <w:sz w:val="28"/>
          <w:szCs w:val="28"/>
        </w:rPr>
        <w:t>“光储充检”超</w:t>
      </w:r>
      <w:r w:rsidRPr="00C926E3">
        <w:rPr>
          <w:rFonts w:ascii="微软雅黑" w:eastAsia="微软雅黑" w:hAnsi="微软雅黑" w:hint="eastAsia"/>
          <w:b/>
          <w:sz w:val="28"/>
          <w:szCs w:val="28"/>
        </w:rPr>
        <w:t>充站</w:t>
      </w:r>
      <w:r>
        <w:rPr>
          <w:rFonts w:ascii="微软雅黑" w:eastAsia="微软雅黑" w:hAnsi="微软雅黑" w:hint="eastAsia"/>
          <w:b/>
          <w:sz w:val="28"/>
          <w:szCs w:val="28"/>
        </w:rPr>
        <w:t>将于8月</w:t>
      </w:r>
      <w:r w:rsidR="001407FD">
        <w:rPr>
          <w:rFonts w:ascii="微软雅黑" w:eastAsia="微软雅黑" w:hAnsi="微软雅黑" w:hint="eastAsia"/>
          <w:b/>
          <w:sz w:val="28"/>
          <w:szCs w:val="28"/>
        </w:rPr>
        <w:t>底</w:t>
      </w:r>
      <w:r>
        <w:rPr>
          <w:rFonts w:ascii="微软雅黑" w:eastAsia="微软雅黑" w:hAnsi="微软雅黑"/>
          <w:b/>
          <w:sz w:val="28"/>
          <w:szCs w:val="28"/>
        </w:rPr>
        <w:t>落地</w:t>
      </w:r>
    </w:p>
    <w:p w14:paraId="09D9721A" w14:textId="4EE6551E" w:rsidR="003E2204" w:rsidRPr="00C926E3" w:rsidRDefault="002E5DC6" w:rsidP="00C926E3">
      <w:pPr>
        <w:jc w:val="center"/>
      </w:pPr>
      <w:r>
        <w:rPr>
          <w:rFonts w:hint="eastAsia"/>
        </w:rPr>
        <w:t>备选</w:t>
      </w:r>
      <w:r>
        <w:t>：</w:t>
      </w:r>
      <w:r w:rsidR="003E2204" w:rsidRPr="00C926E3">
        <w:rPr>
          <w:rFonts w:hint="eastAsia"/>
        </w:rPr>
        <w:t>爱驰与快卜</w:t>
      </w:r>
      <w:r w:rsidR="00C926E3">
        <w:rPr>
          <w:rFonts w:hint="eastAsia"/>
        </w:rPr>
        <w:t>完成</w:t>
      </w:r>
      <w:r w:rsidR="00C926E3">
        <w:t>交车仪式</w:t>
      </w:r>
      <w:r w:rsidR="00C926E3">
        <w:rPr>
          <w:rFonts w:hint="eastAsia"/>
        </w:rPr>
        <w:t xml:space="preserve"> </w:t>
      </w:r>
      <w:r w:rsidR="00C926E3" w:rsidRPr="00C926E3">
        <w:rPr>
          <w:rFonts w:hint="eastAsia"/>
        </w:rPr>
        <w:t>“光储充检”</w:t>
      </w:r>
      <w:r w:rsidR="003E2204" w:rsidRPr="00C926E3">
        <w:rPr>
          <w:rFonts w:hint="eastAsia"/>
        </w:rPr>
        <w:t>合作迈出实践性一步</w:t>
      </w:r>
    </w:p>
    <w:p w14:paraId="75FB15F3" w14:textId="1B29009C" w:rsidR="003E2204" w:rsidRPr="00C926E3" w:rsidRDefault="003E2204" w:rsidP="00C926E3">
      <w:pPr>
        <w:jc w:val="center"/>
      </w:pPr>
      <w:r w:rsidRPr="00C926E3">
        <w:rPr>
          <w:rFonts w:hint="eastAsia"/>
        </w:rPr>
        <w:t>战略合作的进一步深化，爱驰与</w:t>
      </w:r>
      <w:r w:rsidRPr="00C926E3">
        <w:t>快卜</w:t>
      </w:r>
      <w:r w:rsidR="00C926E3">
        <w:rPr>
          <w:rFonts w:hint="eastAsia"/>
        </w:rPr>
        <w:t>交车仪式成功举办</w:t>
      </w:r>
    </w:p>
    <w:p w14:paraId="3C86088F" w14:textId="77777777" w:rsidR="003E2204" w:rsidRPr="00C926E3" w:rsidRDefault="003E2204" w:rsidP="00C926E3">
      <w:pPr>
        <w:jc w:val="center"/>
      </w:pPr>
      <w:r w:rsidRPr="00C926E3">
        <w:t>爱驰</w:t>
      </w:r>
      <w:r w:rsidRPr="00C926E3">
        <w:rPr>
          <w:rFonts w:hint="eastAsia"/>
        </w:rPr>
        <w:t>与</w:t>
      </w:r>
      <w:r w:rsidRPr="00C926E3">
        <w:t>快卜</w:t>
      </w:r>
      <w:r w:rsidRPr="00C926E3">
        <w:rPr>
          <w:rFonts w:hint="eastAsia"/>
        </w:rPr>
        <w:t>完成交车，首台</w:t>
      </w:r>
      <w:r w:rsidRPr="00C926E3">
        <w:t>U5用于充电站测试</w:t>
      </w:r>
    </w:p>
    <w:p w14:paraId="0B9A76AE" w14:textId="2AC71B8B" w:rsidR="00745A9B" w:rsidRPr="00C926E3" w:rsidRDefault="003E2204" w:rsidP="00C926E3">
      <w:pPr>
        <w:jc w:val="center"/>
      </w:pPr>
      <w:r w:rsidRPr="00C926E3">
        <w:rPr>
          <w:rFonts w:hint="eastAsia"/>
        </w:rPr>
        <w:t>首台爱驰U5完成交付，“光储充检”超级快充站合作正式启动</w:t>
      </w:r>
    </w:p>
    <w:p w14:paraId="3FC7B7DE" w14:textId="6BB93EB1" w:rsidR="00745A9B" w:rsidRDefault="00C4177E">
      <w:pPr>
        <w:spacing w:beforeLines="50" w:before="156" w:afterLines="50" w:after="156" w:line="360" w:lineRule="auto"/>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日前</w:t>
      </w:r>
      <w:bookmarkStart w:id="0" w:name="_GoBack"/>
      <w:bookmarkEnd w:id="0"/>
      <w:r w:rsidR="00A00B53">
        <w:rPr>
          <w:rFonts w:ascii="微软雅黑" w:eastAsia="微软雅黑" w:hAnsi="微软雅黑" w:hint="eastAsia"/>
          <w:sz w:val="22"/>
          <w:szCs w:val="22"/>
        </w:rPr>
        <w:t>，爱驰汽车（以下简称：爱驰）向快卜新能源科技有限公司（以下简称：快卜）交付首台爱驰U</w:t>
      </w:r>
      <w:r w:rsidR="00A00B53">
        <w:rPr>
          <w:rFonts w:ascii="微软雅黑" w:eastAsia="微软雅黑" w:hAnsi="微软雅黑"/>
          <w:sz w:val="22"/>
          <w:szCs w:val="22"/>
        </w:rPr>
        <w:t>5</w:t>
      </w:r>
      <w:r w:rsidR="00A00B53">
        <w:rPr>
          <w:rFonts w:ascii="微软雅黑" w:eastAsia="微软雅黑" w:hAnsi="微软雅黑" w:hint="eastAsia"/>
          <w:sz w:val="22"/>
          <w:szCs w:val="22"/>
        </w:rPr>
        <w:t>，用于充电站测试工作，这代表着双方共同建设“光储充检”一体化智能超级快充站的合作正式启动，也宣告了双方战略合作的进一步深化，再次向新能源汽车充电2</w:t>
      </w:r>
      <w:r w:rsidR="00A00B53">
        <w:rPr>
          <w:rFonts w:ascii="微软雅黑" w:eastAsia="微软雅黑" w:hAnsi="微软雅黑"/>
          <w:sz w:val="22"/>
          <w:szCs w:val="22"/>
        </w:rPr>
        <w:t>.0</w:t>
      </w:r>
      <w:r w:rsidR="00A00B53">
        <w:rPr>
          <w:rFonts w:ascii="微软雅黑" w:eastAsia="微软雅黑" w:hAnsi="微软雅黑" w:hint="eastAsia"/>
          <w:sz w:val="22"/>
          <w:szCs w:val="22"/>
        </w:rPr>
        <w:t>时代迈出了具有实践意义的一步。</w:t>
      </w:r>
    </w:p>
    <w:p w14:paraId="6BE5A480" w14:textId="77777777" w:rsidR="00745A9B" w:rsidRDefault="00A00B53" w:rsidP="002E5DC6">
      <w:pPr>
        <w:spacing w:beforeLines="50" w:before="156" w:afterLines="50" w:after="156" w:line="360" w:lineRule="auto"/>
        <w:jc w:val="center"/>
        <w:rPr>
          <w:rFonts w:ascii="微软雅黑" w:eastAsia="微软雅黑" w:hAnsi="微软雅黑"/>
          <w:sz w:val="22"/>
          <w:szCs w:val="22"/>
        </w:rPr>
      </w:pPr>
      <w:r>
        <w:rPr>
          <w:noProof/>
        </w:rPr>
        <w:drawing>
          <wp:inline distT="0" distB="0" distL="0" distR="0" wp14:anchorId="57604C41" wp14:editId="021EC0E8">
            <wp:extent cx="5068581" cy="38798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a:xfrm>
                      <a:off x="0" y="0"/>
                      <a:ext cx="5069261" cy="3880371"/>
                    </a:xfrm>
                    <a:prstGeom prst="rect">
                      <a:avLst/>
                    </a:prstGeom>
                    <a:noFill/>
                    <a:ln>
                      <a:noFill/>
                    </a:ln>
                  </pic:spPr>
                </pic:pic>
              </a:graphicData>
            </a:graphic>
          </wp:inline>
        </w:drawing>
      </w:r>
    </w:p>
    <w:p w14:paraId="63E4AF12" w14:textId="7E7A939F" w:rsidR="00745A9B" w:rsidRDefault="00A00B53">
      <w:pPr>
        <w:spacing w:beforeLines="50" w:before="156" w:afterLines="50" w:after="156" w:line="360" w:lineRule="auto"/>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本次交车仪式中，爱驰和快卜双方</w:t>
      </w:r>
      <w:r w:rsidR="00C926E3">
        <w:rPr>
          <w:rFonts w:ascii="微软雅黑" w:eastAsia="微软雅黑" w:hAnsi="微软雅黑" w:hint="eastAsia"/>
          <w:sz w:val="22"/>
          <w:szCs w:val="22"/>
        </w:rPr>
        <w:t>管理</w:t>
      </w:r>
      <w:r w:rsidR="00C926E3">
        <w:rPr>
          <w:rFonts w:ascii="微软雅黑" w:eastAsia="微软雅黑" w:hAnsi="微软雅黑"/>
          <w:sz w:val="22"/>
          <w:szCs w:val="22"/>
        </w:rPr>
        <w:t>和技术</w:t>
      </w:r>
      <w:r w:rsidR="00C926E3">
        <w:rPr>
          <w:rFonts w:ascii="微软雅黑" w:eastAsia="微软雅黑" w:hAnsi="微软雅黑" w:hint="eastAsia"/>
          <w:sz w:val="22"/>
          <w:szCs w:val="22"/>
        </w:rPr>
        <w:t>代表</w:t>
      </w:r>
      <w:r>
        <w:rPr>
          <w:rFonts w:ascii="微软雅黑" w:eastAsia="微软雅黑" w:hAnsi="微软雅黑" w:hint="eastAsia"/>
          <w:sz w:val="22"/>
          <w:szCs w:val="22"/>
        </w:rPr>
        <w:t>人员出席</w:t>
      </w:r>
      <w:r w:rsidR="00C926E3">
        <w:rPr>
          <w:rFonts w:ascii="微软雅黑" w:eastAsia="微软雅黑" w:hAnsi="微软雅黑" w:hint="eastAsia"/>
          <w:sz w:val="22"/>
          <w:szCs w:val="22"/>
        </w:rPr>
        <w:t>，</w:t>
      </w:r>
      <w:r w:rsidR="00C926E3">
        <w:rPr>
          <w:rFonts w:ascii="微软雅黑" w:eastAsia="微软雅黑" w:hAnsi="微软雅黑"/>
          <w:sz w:val="22"/>
          <w:szCs w:val="22"/>
        </w:rPr>
        <w:t>并就</w:t>
      </w:r>
      <w:r>
        <w:rPr>
          <w:rFonts w:ascii="微软雅黑" w:eastAsia="微软雅黑" w:hAnsi="微软雅黑" w:hint="eastAsia"/>
          <w:sz w:val="22"/>
          <w:szCs w:val="22"/>
        </w:rPr>
        <w:t>未来开启</w:t>
      </w:r>
      <w:r w:rsidR="00C926E3">
        <w:rPr>
          <w:rFonts w:ascii="微软雅黑" w:eastAsia="微软雅黑" w:hAnsi="微软雅黑" w:hint="eastAsia"/>
          <w:sz w:val="22"/>
          <w:szCs w:val="22"/>
        </w:rPr>
        <w:t>的</w:t>
      </w:r>
      <w:r>
        <w:rPr>
          <w:rFonts w:ascii="微软雅黑" w:eastAsia="微软雅黑" w:hAnsi="微软雅黑" w:hint="eastAsia"/>
          <w:sz w:val="22"/>
          <w:szCs w:val="22"/>
        </w:rPr>
        <w:t>“光储充检”一体化智能超级快充站</w:t>
      </w:r>
      <w:r w:rsidR="00C926E3">
        <w:rPr>
          <w:rFonts w:ascii="微软雅黑" w:eastAsia="微软雅黑" w:hAnsi="微软雅黑" w:hint="eastAsia"/>
          <w:sz w:val="22"/>
          <w:szCs w:val="22"/>
        </w:rPr>
        <w:t>的落地</w:t>
      </w:r>
      <w:r w:rsidR="00C926E3">
        <w:rPr>
          <w:rFonts w:ascii="微软雅黑" w:eastAsia="微软雅黑" w:hAnsi="微软雅黑"/>
          <w:sz w:val="22"/>
          <w:szCs w:val="22"/>
        </w:rPr>
        <w:t>应用进行了深度的探讨和交流</w:t>
      </w:r>
      <w:r>
        <w:rPr>
          <w:rFonts w:ascii="微软雅黑" w:eastAsia="微软雅黑" w:hAnsi="微软雅黑" w:hint="eastAsia"/>
          <w:sz w:val="22"/>
          <w:szCs w:val="22"/>
        </w:rPr>
        <w:t>。</w:t>
      </w:r>
      <w:r w:rsidR="00C926E3">
        <w:rPr>
          <w:rFonts w:ascii="微软雅黑" w:eastAsia="微软雅黑" w:hAnsi="微软雅黑" w:hint="eastAsia"/>
          <w:sz w:val="22"/>
          <w:szCs w:val="22"/>
        </w:rPr>
        <w:t>此次</w:t>
      </w:r>
      <w:r w:rsidR="00C926E3">
        <w:rPr>
          <w:rFonts w:ascii="微软雅黑" w:eastAsia="微软雅黑" w:hAnsi="微软雅黑"/>
          <w:sz w:val="22"/>
          <w:szCs w:val="22"/>
        </w:rPr>
        <w:t>交付的爱驰</w:t>
      </w:r>
      <w:r w:rsidR="00C926E3">
        <w:rPr>
          <w:rFonts w:ascii="微软雅黑" w:eastAsia="微软雅黑" w:hAnsi="微软雅黑" w:hint="eastAsia"/>
          <w:sz w:val="22"/>
          <w:szCs w:val="22"/>
        </w:rPr>
        <w:t>U5将</w:t>
      </w:r>
      <w:r w:rsidR="00C926E3">
        <w:rPr>
          <w:rFonts w:ascii="微软雅黑" w:eastAsia="微软雅黑" w:hAnsi="微软雅黑"/>
          <w:sz w:val="22"/>
          <w:szCs w:val="22"/>
        </w:rPr>
        <w:t>作为充电载体，</w:t>
      </w:r>
      <w:r w:rsidR="00C926E3">
        <w:rPr>
          <w:rFonts w:ascii="微软雅黑" w:eastAsia="微软雅黑" w:hAnsi="微软雅黑" w:hint="eastAsia"/>
          <w:sz w:val="22"/>
          <w:szCs w:val="22"/>
        </w:rPr>
        <w:t>助力</w:t>
      </w:r>
      <w:r w:rsidR="002E5DC6" w:rsidRPr="002E5DC6">
        <w:rPr>
          <w:rFonts w:ascii="微软雅黑" w:eastAsia="微软雅黑" w:hAnsi="微软雅黑" w:hint="eastAsia"/>
          <w:sz w:val="22"/>
          <w:szCs w:val="22"/>
        </w:rPr>
        <w:t>“光</w:t>
      </w:r>
      <w:r w:rsidR="002E5DC6" w:rsidRPr="002E5DC6">
        <w:rPr>
          <w:rFonts w:ascii="微软雅黑" w:eastAsia="微软雅黑" w:hAnsi="微软雅黑" w:hint="eastAsia"/>
          <w:sz w:val="22"/>
          <w:szCs w:val="22"/>
        </w:rPr>
        <w:lastRenderedPageBreak/>
        <w:t>储充检”</w:t>
      </w:r>
      <w:r w:rsidR="00C926E3">
        <w:rPr>
          <w:rFonts w:ascii="微软雅黑" w:eastAsia="微软雅黑" w:hAnsi="微软雅黑"/>
          <w:sz w:val="22"/>
          <w:szCs w:val="22"/>
        </w:rPr>
        <w:t>项目的落地。</w:t>
      </w:r>
      <w:r w:rsidR="00C926E3" w:rsidRPr="00C926E3">
        <w:rPr>
          <w:rFonts w:ascii="微软雅黑" w:eastAsia="微软雅黑" w:hAnsi="微软雅黑"/>
          <w:sz w:val="22"/>
          <w:szCs w:val="22"/>
        </w:rPr>
        <w:t>其中，</w:t>
      </w:r>
      <w:r w:rsidR="002E5DC6">
        <w:rPr>
          <w:rFonts w:ascii="微软雅黑" w:eastAsia="微软雅黑" w:hAnsi="微软雅黑" w:hint="eastAsia"/>
          <w:sz w:val="22"/>
          <w:szCs w:val="22"/>
        </w:rPr>
        <w:t>首个</w:t>
      </w:r>
      <w:r w:rsidR="00684F42">
        <w:rPr>
          <w:rFonts w:ascii="微软雅黑" w:eastAsia="微软雅黑" w:hAnsi="微软雅黑" w:hint="eastAsia"/>
          <w:sz w:val="22"/>
          <w:szCs w:val="22"/>
        </w:rPr>
        <w:t>充电站</w:t>
      </w:r>
      <w:r w:rsidR="00C926E3" w:rsidRPr="00C926E3">
        <w:rPr>
          <w:rFonts w:ascii="微软雅黑" w:eastAsia="微软雅黑" w:hAnsi="微软雅黑"/>
          <w:sz w:val="22"/>
          <w:szCs w:val="22"/>
        </w:rPr>
        <w:t>示范项目将于8月底落户江西上饶，这也是爱驰汽车超级智慧工厂的所在地，未来将在更多地区进行推广。</w:t>
      </w:r>
    </w:p>
    <w:p w14:paraId="3F7E2AEE" w14:textId="0E94FBFE" w:rsidR="00B12C08" w:rsidRPr="00B12C08" w:rsidRDefault="00B12C08" w:rsidP="00B12C08">
      <w:pPr>
        <w:spacing w:beforeLines="50" w:before="156" w:afterLines="50" w:after="156" w:line="360" w:lineRule="auto"/>
        <w:ind w:firstLineChars="200" w:firstLine="480"/>
        <w:jc w:val="center"/>
        <w:rPr>
          <w:rFonts w:ascii="微软雅黑" w:eastAsia="微软雅黑" w:hAnsi="微软雅黑"/>
          <w:sz w:val="22"/>
          <w:szCs w:val="22"/>
        </w:rPr>
      </w:pPr>
      <w:r>
        <w:rPr>
          <w:noProof/>
        </w:rPr>
        <w:drawing>
          <wp:inline distT="0" distB="0" distL="0" distR="0" wp14:anchorId="0493FAD8" wp14:editId="001D6CFF">
            <wp:extent cx="4613275" cy="3460189"/>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4625418" cy="3469297"/>
                    </a:xfrm>
                    <a:prstGeom prst="rect">
                      <a:avLst/>
                    </a:prstGeom>
                    <a:noFill/>
                    <a:ln>
                      <a:noFill/>
                    </a:ln>
                  </pic:spPr>
                </pic:pic>
              </a:graphicData>
            </a:graphic>
          </wp:inline>
        </w:drawing>
      </w:r>
    </w:p>
    <w:p w14:paraId="571D2705" w14:textId="77777777" w:rsidR="00745A9B" w:rsidRDefault="00A00B53" w:rsidP="002E5DC6">
      <w:pPr>
        <w:spacing w:beforeLines="50" w:before="156" w:afterLines="50" w:after="156" w:line="360" w:lineRule="auto"/>
        <w:jc w:val="center"/>
        <w:rPr>
          <w:rFonts w:ascii="微软雅黑" w:eastAsia="微软雅黑" w:hAnsi="微软雅黑"/>
          <w:sz w:val="22"/>
          <w:szCs w:val="22"/>
        </w:rPr>
      </w:pPr>
      <w:r>
        <w:rPr>
          <w:noProof/>
        </w:rPr>
        <w:drawing>
          <wp:inline distT="0" distB="0" distL="0" distR="0" wp14:anchorId="33D3968C" wp14:editId="3AC06711">
            <wp:extent cx="4558911" cy="34148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4571585" cy="3424311"/>
                    </a:xfrm>
                    <a:prstGeom prst="rect">
                      <a:avLst/>
                    </a:prstGeom>
                    <a:noFill/>
                    <a:ln>
                      <a:noFill/>
                    </a:ln>
                  </pic:spPr>
                </pic:pic>
              </a:graphicData>
            </a:graphic>
          </wp:inline>
        </w:drawing>
      </w:r>
    </w:p>
    <w:p w14:paraId="146ED0B9" w14:textId="68E8451A" w:rsidR="00745A9B" w:rsidRDefault="00684F42">
      <w:pPr>
        <w:spacing w:beforeLines="50" w:before="156" w:afterLines="50" w:after="156" w:line="360" w:lineRule="auto"/>
        <w:ind w:firstLineChars="200" w:firstLine="440"/>
        <w:jc w:val="both"/>
        <w:rPr>
          <w:rFonts w:ascii="微软雅黑" w:eastAsia="微软雅黑" w:hAnsi="微软雅黑"/>
          <w:sz w:val="22"/>
          <w:szCs w:val="22"/>
        </w:rPr>
      </w:pPr>
      <w:r>
        <w:rPr>
          <w:rFonts w:ascii="微软雅黑" w:eastAsia="微软雅黑" w:hAnsi="微软雅黑" w:hint="eastAsia"/>
          <w:sz w:val="22"/>
          <w:szCs w:val="22"/>
        </w:rPr>
        <w:lastRenderedPageBreak/>
        <w:t>快卜</w:t>
      </w:r>
      <w:r>
        <w:rPr>
          <w:rFonts w:ascii="微软雅黑" w:eastAsia="微软雅黑" w:hAnsi="微软雅黑"/>
          <w:sz w:val="22"/>
          <w:szCs w:val="22"/>
        </w:rPr>
        <w:t>之所以选择与爱驰达成合作，</w:t>
      </w:r>
      <w:r>
        <w:rPr>
          <w:rFonts w:ascii="微软雅黑" w:eastAsia="微软雅黑" w:hAnsi="微软雅黑" w:hint="eastAsia"/>
          <w:sz w:val="22"/>
          <w:szCs w:val="22"/>
        </w:rPr>
        <w:t>不仅是</w:t>
      </w:r>
      <w:r>
        <w:rPr>
          <w:rFonts w:ascii="微软雅黑" w:eastAsia="微软雅黑" w:hAnsi="微软雅黑"/>
          <w:sz w:val="22"/>
          <w:szCs w:val="22"/>
        </w:rPr>
        <w:t>战略层面的</w:t>
      </w:r>
      <w:r>
        <w:rPr>
          <w:rFonts w:ascii="微软雅黑" w:eastAsia="微软雅黑" w:hAnsi="微软雅黑" w:hint="eastAsia"/>
          <w:sz w:val="22"/>
          <w:szCs w:val="22"/>
        </w:rPr>
        <w:t>深度</w:t>
      </w:r>
      <w:r>
        <w:rPr>
          <w:rFonts w:ascii="微软雅黑" w:eastAsia="微软雅黑" w:hAnsi="微软雅黑"/>
          <w:sz w:val="22"/>
          <w:szCs w:val="22"/>
        </w:rPr>
        <w:t>拓展，更是</w:t>
      </w:r>
      <w:r>
        <w:rPr>
          <w:rFonts w:ascii="微软雅黑" w:eastAsia="微软雅黑" w:hAnsi="微软雅黑" w:hint="eastAsia"/>
          <w:sz w:val="22"/>
          <w:szCs w:val="22"/>
        </w:rPr>
        <w:t>基于</w:t>
      </w:r>
      <w:r>
        <w:rPr>
          <w:rFonts w:ascii="微软雅黑" w:eastAsia="微软雅黑" w:hAnsi="微软雅黑"/>
          <w:sz w:val="22"/>
          <w:szCs w:val="22"/>
        </w:rPr>
        <w:t>爱驰强大的产品力</w:t>
      </w:r>
      <w:r w:rsidR="009D3BDF">
        <w:rPr>
          <w:rFonts w:ascii="微软雅黑" w:eastAsia="微软雅黑" w:hAnsi="微软雅黑" w:hint="eastAsia"/>
          <w:sz w:val="22"/>
          <w:szCs w:val="22"/>
        </w:rPr>
        <w:t>为</w:t>
      </w:r>
      <w:r w:rsidR="009D3BDF">
        <w:rPr>
          <w:rFonts w:ascii="微软雅黑" w:eastAsia="微软雅黑" w:hAnsi="微软雅黑"/>
          <w:sz w:val="22"/>
          <w:szCs w:val="22"/>
        </w:rPr>
        <w:t>依托</w:t>
      </w:r>
      <w:r>
        <w:rPr>
          <w:rFonts w:ascii="微软雅黑" w:eastAsia="微软雅黑" w:hAnsi="微软雅黑"/>
          <w:sz w:val="22"/>
          <w:szCs w:val="22"/>
        </w:rPr>
        <w:t>。</w:t>
      </w:r>
      <w:r>
        <w:rPr>
          <w:rFonts w:ascii="微软雅黑" w:eastAsia="微软雅黑" w:hAnsi="微软雅黑" w:hint="eastAsia"/>
          <w:sz w:val="22"/>
          <w:szCs w:val="22"/>
        </w:rPr>
        <w:t>爱驰</w:t>
      </w:r>
      <w:r>
        <w:rPr>
          <w:rFonts w:ascii="微软雅黑" w:eastAsia="微软雅黑" w:hAnsi="微软雅黑"/>
          <w:sz w:val="22"/>
          <w:szCs w:val="22"/>
        </w:rPr>
        <w:t>与宁德时代合作由来已久，</w:t>
      </w:r>
      <w:r w:rsidRPr="00684F42">
        <w:rPr>
          <w:rFonts w:ascii="微软雅黑" w:eastAsia="微软雅黑" w:hAnsi="微软雅黑" w:hint="eastAsia"/>
          <w:sz w:val="22"/>
          <w:szCs w:val="22"/>
        </w:rPr>
        <w:t>旗下车型</w:t>
      </w:r>
      <w:r w:rsidRPr="00684F42">
        <w:rPr>
          <w:rFonts w:ascii="微软雅黑" w:eastAsia="微软雅黑" w:hAnsi="微软雅黑"/>
          <w:sz w:val="22"/>
          <w:szCs w:val="22"/>
        </w:rPr>
        <w:t>U5、U6</w:t>
      </w:r>
      <w:r>
        <w:rPr>
          <w:rFonts w:ascii="微软雅黑" w:eastAsia="微软雅黑" w:hAnsi="微软雅黑"/>
          <w:sz w:val="22"/>
          <w:szCs w:val="22"/>
        </w:rPr>
        <w:t>都采用了宁德时代三元锂电池</w:t>
      </w:r>
      <w:r>
        <w:rPr>
          <w:rFonts w:ascii="微软雅黑" w:eastAsia="微软雅黑" w:hAnsi="微软雅黑" w:hint="eastAsia"/>
          <w:sz w:val="22"/>
          <w:szCs w:val="22"/>
        </w:rPr>
        <w:t>，且独创</w:t>
      </w:r>
      <w:r>
        <w:rPr>
          <w:rFonts w:ascii="微软雅黑" w:eastAsia="微软雅黑" w:hAnsi="微软雅黑"/>
          <w:sz w:val="22"/>
          <w:szCs w:val="22"/>
        </w:rPr>
        <w:t>的三明治电池包</w:t>
      </w:r>
      <w:r>
        <w:rPr>
          <w:rFonts w:ascii="微软雅黑" w:eastAsia="微软雅黑" w:hAnsi="微软雅黑" w:hint="eastAsia"/>
          <w:sz w:val="22"/>
          <w:szCs w:val="22"/>
        </w:rPr>
        <w:t>技术</w:t>
      </w:r>
      <w:r w:rsidRPr="00684F42">
        <w:rPr>
          <w:rFonts w:ascii="微软雅黑" w:eastAsia="微软雅黑" w:hAnsi="微软雅黑"/>
          <w:sz w:val="22"/>
          <w:szCs w:val="22"/>
        </w:rPr>
        <w:t>也为新能源汽车能源补给方案的创新发展带来了新的契机。</w:t>
      </w:r>
      <w:r w:rsidR="00A00B53">
        <w:rPr>
          <w:rFonts w:ascii="微软雅黑" w:eastAsia="微软雅黑" w:hAnsi="微软雅黑" w:hint="eastAsia"/>
          <w:sz w:val="22"/>
          <w:szCs w:val="22"/>
        </w:rPr>
        <w:t>同时，为了更好的服务于客户，也让用户更好的了解爱车和电池的安全情况，爱驰也即将推出</w:t>
      </w:r>
      <w:r w:rsidR="00A00B53">
        <w:rPr>
          <w:rFonts w:ascii="微软雅黑" w:eastAsia="微软雅黑" w:hAnsi="微软雅黑"/>
          <w:sz w:val="22"/>
          <w:szCs w:val="22"/>
        </w:rPr>
        <w:t>"电池健康管家"的服务，用户充电20分钟</w:t>
      </w:r>
      <w:r w:rsidR="00A00B53">
        <w:rPr>
          <w:rFonts w:ascii="微软雅黑" w:eastAsia="微软雅黑" w:hAnsi="微软雅黑" w:hint="eastAsia"/>
          <w:sz w:val="22"/>
          <w:szCs w:val="22"/>
        </w:rPr>
        <w:t>时</w:t>
      </w:r>
      <w:r w:rsidR="00A00B53">
        <w:rPr>
          <w:rFonts w:ascii="微软雅黑" w:eastAsia="微软雅黑" w:hAnsi="微软雅黑"/>
          <w:sz w:val="22"/>
          <w:szCs w:val="22"/>
        </w:rPr>
        <w:t>就可以得到一份"电池检测报告"。另外，储能系统可以利用夜间低谷电价进行储能，在充电高峰期通过储能和市电一起为充电站供电，满足高峰期用电需求，实现</w:t>
      </w:r>
      <w:r w:rsidR="00A00B53">
        <w:rPr>
          <w:rFonts w:ascii="微软雅黑" w:eastAsia="微软雅黑" w:hAnsi="微软雅黑" w:hint="eastAsia"/>
          <w:sz w:val="22"/>
          <w:szCs w:val="22"/>
        </w:rPr>
        <w:t>“</w:t>
      </w:r>
      <w:r w:rsidR="00A00B53">
        <w:rPr>
          <w:rFonts w:ascii="微软雅黑" w:eastAsia="微软雅黑" w:hAnsi="微软雅黑"/>
          <w:sz w:val="22"/>
          <w:szCs w:val="22"/>
        </w:rPr>
        <w:t>削峰填谷</w:t>
      </w:r>
      <w:r w:rsidR="00A00B53">
        <w:rPr>
          <w:rFonts w:ascii="微软雅黑" w:eastAsia="微软雅黑" w:hAnsi="微软雅黑" w:hint="eastAsia"/>
          <w:sz w:val="22"/>
          <w:szCs w:val="22"/>
        </w:rPr>
        <w:t>”</w:t>
      </w:r>
      <w:r w:rsidR="00A00B53">
        <w:rPr>
          <w:rFonts w:ascii="微软雅黑" w:eastAsia="微软雅黑" w:hAnsi="微软雅黑"/>
          <w:sz w:val="22"/>
          <w:szCs w:val="22"/>
        </w:rPr>
        <w:t>，即使在电网断电时，储能系统仍可为用户提供充电服务。</w:t>
      </w:r>
      <w:r w:rsidRPr="00684F42">
        <w:rPr>
          <w:rFonts w:ascii="微软雅黑" w:eastAsia="微软雅黑" w:hAnsi="微软雅黑" w:hint="eastAsia"/>
          <w:sz w:val="22"/>
          <w:szCs w:val="22"/>
        </w:rPr>
        <w:t>基于这些技术优势，</w:t>
      </w:r>
      <w:r>
        <w:rPr>
          <w:rFonts w:ascii="微软雅黑" w:eastAsia="微软雅黑" w:hAnsi="微软雅黑" w:hint="eastAsia"/>
          <w:sz w:val="22"/>
          <w:szCs w:val="22"/>
        </w:rPr>
        <w:t>双方将强强联合</w:t>
      </w:r>
      <w:r w:rsidRPr="00684F42">
        <w:rPr>
          <w:rFonts w:ascii="微软雅黑" w:eastAsia="微软雅黑" w:hAnsi="微软雅黑" w:hint="eastAsia"/>
          <w:sz w:val="22"/>
          <w:szCs w:val="22"/>
        </w:rPr>
        <w:t>，抢占行业制高点。</w:t>
      </w:r>
    </w:p>
    <w:p w14:paraId="4F70C3AD" w14:textId="20929C5E" w:rsidR="00745A9B" w:rsidRDefault="00A00B53" w:rsidP="00A02EDF">
      <w:pPr>
        <w:spacing w:beforeLines="50" w:before="156" w:afterLines="50" w:after="156" w:line="360" w:lineRule="auto"/>
        <w:jc w:val="center"/>
        <w:rPr>
          <w:rFonts w:ascii="微软雅黑" w:eastAsia="微软雅黑" w:hAnsi="微软雅黑"/>
          <w:sz w:val="22"/>
          <w:szCs w:val="22"/>
        </w:rPr>
      </w:pPr>
      <w:r>
        <w:rPr>
          <w:noProof/>
        </w:rPr>
        <w:drawing>
          <wp:inline distT="0" distB="0" distL="0" distR="0" wp14:anchorId="4995338F" wp14:editId="2F89650D">
            <wp:extent cx="5771739" cy="3850347"/>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5776658" cy="3853628"/>
                    </a:xfrm>
                    <a:prstGeom prst="rect">
                      <a:avLst/>
                    </a:prstGeom>
                    <a:noFill/>
                    <a:ln>
                      <a:noFill/>
                    </a:ln>
                  </pic:spPr>
                </pic:pic>
              </a:graphicData>
            </a:graphic>
          </wp:inline>
        </w:drawing>
      </w:r>
    </w:p>
    <w:p w14:paraId="340FA601" w14:textId="05544C6E" w:rsidR="00745A9B" w:rsidRDefault="00A00B53">
      <w:pPr>
        <w:spacing w:beforeLines="50" w:before="156" w:afterLines="50" w:after="156" w:line="360" w:lineRule="auto"/>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充电2</w:t>
      </w:r>
      <w:r>
        <w:rPr>
          <w:rFonts w:ascii="微软雅黑" w:eastAsia="微软雅黑" w:hAnsi="微软雅黑"/>
          <w:sz w:val="22"/>
          <w:szCs w:val="22"/>
        </w:rPr>
        <w:t>.0</w:t>
      </w:r>
      <w:r w:rsidR="002E5DC6">
        <w:rPr>
          <w:rFonts w:ascii="微软雅黑" w:eastAsia="微软雅黑" w:hAnsi="微软雅黑" w:hint="eastAsia"/>
          <w:sz w:val="22"/>
          <w:szCs w:val="22"/>
        </w:rPr>
        <w:t>时代意味着</w:t>
      </w:r>
      <w:r>
        <w:rPr>
          <w:rFonts w:ascii="微软雅黑" w:eastAsia="微软雅黑" w:hAnsi="微软雅黑" w:hint="eastAsia"/>
          <w:sz w:val="22"/>
          <w:szCs w:val="22"/>
        </w:rPr>
        <w:t>用户体验和科技生活的全面升级：通过智能汽车网联技术、用户运营服务以及充电服务网点、光储充检产品的优势互相结合，实现充电系统、服务及商业模式的创新。期待在爱驰与快卜的共同努力下，</w:t>
      </w:r>
      <w:r>
        <w:rPr>
          <w:rFonts w:ascii="微软雅黑" w:eastAsia="微软雅黑" w:hAnsi="微软雅黑"/>
          <w:sz w:val="22"/>
          <w:szCs w:val="22"/>
        </w:rPr>
        <w:t>“</w:t>
      </w:r>
      <w:r>
        <w:rPr>
          <w:rFonts w:ascii="微软雅黑" w:eastAsia="微软雅黑" w:hAnsi="微软雅黑" w:hint="eastAsia"/>
          <w:sz w:val="22"/>
          <w:szCs w:val="22"/>
        </w:rPr>
        <w:t>光储充检”</w:t>
      </w:r>
      <w:r>
        <w:rPr>
          <w:rFonts w:ascii="微软雅黑" w:eastAsia="微软雅黑" w:hAnsi="微软雅黑"/>
          <w:sz w:val="22"/>
          <w:szCs w:val="22"/>
        </w:rPr>
        <w:t>超充体系</w:t>
      </w:r>
      <w:r w:rsidR="00684F42">
        <w:rPr>
          <w:rFonts w:ascii="微软雅黑" w:eastAsia="微软雅黑" w:hAnsi="微软雅黑" w:hint="eastAsia"/>
          <w:sz w:val="22"/>
          <w:szCs w:val="22"/>
        </w:rPr>
        <w:t>能够快速应用于更多新能源用户的出行生活，为用户</w:t>
      </w:r>
      <w:r>
        <w:rPr>
          <w:rFonts w:ascii="微软雅黑" w:eastAsia="微软雅黑" w:hAnsi="微软雅黑" w:hint="eastAsia"/>
          <w:sz w:val="22"/>
          <w:szCs w:val="22"/>
        </w:rPr>
        <w:t>带去更智能、环保且优越的新能源用车体验。</w:t>
      </w:r>
    </w:p>
    <w:p w14:paraId="6FB1DB85" w14:textId="77777777" w:rsidR="00466F7F" w:rsidRDefault="00466F7F" w:rsidP="00466F7F">
      <w:pPr>
        <w:jc w:val="center"/>
        <w:rPr>
          <w:rFonts w:ascii="微软雅黑" w:eastAsia="微软雅黑" w:hAnsi="微软雅黑"/>
          <w:sz w:val="22"/>
          <w:szCs w:val="22"/>
        </w:rPr>
      </w:pPr>
      <w:r>
        <w:rPr>
          <w:rFonts w:ascii="微软雅黑" w:eastAsia="微软雅黑" w:hAnsi="微软雅黑" w:hint="eastAsia"/>
          <w:sz w:val="22"/>
          <w:szCs w:val="22"/>
        </w:rPr>
        <w:lastRenderedPageBreak/>
        <w:t>——完——</w:t>
      </w:r>
    </w:p>
    <w:p w14:paraId="153F72CF" w14:textId="77777777" w:rsidR="00466F7F" w:rsidRDefault="00466F7F" w:rsidP="00466F7F">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3E242705" w14:textId="77777777" w:rsidR="00466F7F" w:rsidRDefault="00466F7F" w:rsidP="00466F7F">
      <w:pPr>
        <w:jc w:val="cente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2017年，是一家国际化的新能源智能汽车公司，也是一家用户深度参与的智能出行服务公司，致力于以全球化智能科技，持续改善用户的出行体验，实力成就中国新能源汽车全球化先行者。截止</w:t>
      </w:r>
      <w:r>
        <w:rPr>
          <w:rFonts w:ascii="微软雅黑" w:eastAsia="微软雅黑" w:hAnsi="微软雅黑" w:hint="eastAsia"/>
          <w:sz w:val="22"/>
          <w:szCs w:val="22"/>
        </w:rPr>
        <w:t>2021年</w:t>
      </w:r>
      <w:r>
        <w:rPr>
          <w:rFonts w:ascii="微软雅黑" w:eastAsia="微软雅黑" w:hAnsi="微软雅黑"/>
          <w:sz w:val="22"/>
          <w:szCs w:val="22"/>
        </w:rPr>
        <w:t>7</w:t>
      </w:r>
      <w:r>
        <w:rPr>
          <w:rFonts w:ascii="微软雅黑" w:eastAsia="微软雅黑" w:hAnsi="微软雅黑" w:hint="eastAsia"/>
          <w:sz w:val="22"/>
          <w:szCs w:val="22"/>
        </w:rPr>
        <w:t>月</w:t>
      </w:r>
      <w:r>
        <w:rPr>
          <w:rFonts w:ascii="微软雅黑" w:eastAsia="微软雅黑" w:hAnsi="微软雅黑"/>
          <w:sz w:val="22"/>
          <w:szCs w:val="22"/>
        </w:rPr>
        <w:t>初，爱驰2021年出口1549台，累计出口2578台，继法国、德国、荷兰、比利时、丹麦、以色列之后，爱驰将不断扩大海外市场覆盖区域，进一步拓展南欧及EFTA（欧洲自由贸易联盟）国家市场，爱驰汽车是第一家也是目前唯一一家大批量出口欧盟市场的中国造车新势力企业。</w:t>
      </w:r>
      <w:r>
        <w:rPr>
          <w:rFonts w:ascii="微软雅黑" w:eastAsia="微软雅黑" w:hAnsi="微软雅黑"/>
          <w:noProof/>
          <w:sz w:val="22"/>
          <w:szCs w:val="22"/>
        </w:rPr>
        <w:drawing>
          <wp:inline distT="0" distB="0" distL="0" distR="0" wp14:anchorId="540843BD" wp14:editId="5C1B8419">
            <wp:extent cx="1214120" cy="1214120"/>
            <wp:effectExtent l="0" t="0" r="5080" b="5080"/>
            <wp:docPr id="5" name="图片 5"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a:xfrm>
                      <a:off x="0" y="0"/>
                      <a:ext cx="1214120" cy="1214120"/>
                    </a:xfrm>
                    <a:prstGeom prst="rect">
                      <a:avLst/>
                    </a:prstGeom>
                    <a:noFill/>
                    <a:ln>
                      <a:noFill/>
                    </a:ln>
                  </pic:spPr>
                </pic:pic>
              </a:graphicData>
            </a:graphic>
          </wp:inline>
        </w:drawing>
      </w:r>
    </w:p>
    <w:p w14:paraId="0BF9D106" w14:textId="77777777" w:rsidR="00466F7F" w:rsidRDefault="00466F7F" w:rsidP="00466F7F">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14:paraId="09D47D5E" w14:textId="77777777" w:rsidR="00466F7F" w:rsidRDefault="00466F7F" w:rsidP="00466F7F">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37DA3CBE" w14:textId="77777777" w:rsidR="00466F7F" w:rsidRDefault="00466F7F" w:rsidP="00466F7F">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4A590456" w14:textId="77777777" w:rsidR="00466F7F" w:rsidRDefault="00466F7F" w:rsidP="00466F7F">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p w14:paraId="0E04CBBD" w14:textId="04B9EEAA" w:rsidR="00466F7F" w:rsidRPr="00466F7F" w:rsidRDefault="00466F7F" w:rsidP="00466F7F">
      <w:pPr>
        <w:spacing w:beforeLines="50" w:before="156" w:afterLines="50" w:after="156" w:line="360" w:lineRule="auto"/>
        <w:jc w:val="both"/>
        <w:rPr>
          <w:rFonts w:ascii="微软雅黑" w:eastAsia="微软雅黑" w:hAnsi="微软雅黑"/>
          <w:sz w:val="22"/>
          <w:szCs w:val="22"/>
        </w:rPr>
      </w:pPr>
    </w:p>
    <w:p w14:paraId="6C05AFF8" w14:textId="77777777" w:rsidR="00466F7F" w:rsidRDefault="00466F7F">
      <w:pPr>
        <w:spacing w:beforeLines="50" w:before="156" w:afterLines="50" w:after="156" w:line="360" w:lineRule="auto"/>
        <w:ind w:firstLineChars="200" w:firstLine="440"/>
        <w:jc w:val="both"/>
        <w:rPr>
          <w:rFonts w:ascii="微软雅黑" w:eastAsia="微软雅黑" w:hAnsi="微软雅黑"/>
          <w:sz w:val="22"/>
          <w:szCs w:val="22"/>
        </w:rPr>
      </w:pPr>
    </w:p>
    <w:sectPr w:rsidR="00466F7F">
      <w:headerReference w:type="default" r:id="rId12"/>
      <w:footerReference w:type="default" r:id="rId13"/>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96224" w14:textId="77777777" w:rsidR="00F65F10" w:rsidRDefault="00F65F10">
      <w:r>
        <w:separator/>
      </w:r>
    </w:p>
  </w:endnote>
  <w:endnote w:type="continuationSeparator" w:id="0">
    <w:p w14:paraId="2B7CF305" w14:textId="77777777" w:rsidR="00F65F10" w:rsidRDefault="00F65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11ACA" w14:textId="2F68D92A" w:rsidR="00745A9B" w:rsidRDefault="00F65F10">
    <w:pPr>
      <w:pStyle w:val="a3"/>
      <w:wordWrap w:val="0"/>
      <w:jc w:val="right"/>
      <w:rPr>
        <w:color w:val="262626" w:themeColor="text1" w:themeTint="D9"/>
      </w:rPr>
    </w:pP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sidR="00A00B53">
              <w:rPr>
                <w:rFonts w:hint="eastAsia"/>
                <w:color w:val="262626" w:themeColor="text1" w:themeTint="D9"/>
                <w:sz w:val="24"/>
              </w:rPr>
              <w:t xml:space="preserve">    </w:t>
            </w:r>
            <w:r w:rsidR="00A00B53">
              <w:rPr>
                <w:rFonts w:hint="eastAsia"/>
                <w:color w:val="262626" w:themeColor="text1" w:themeTint="D9"/>
              </w:rPr>
              <w:t xml:space="preserve">                                   </w:t>
            </w:r>
            <w:r w:rsidR="00A00B53">
              <w:rPr>
                <w:color w:val="262626" w:themeColor="text1" w:themeTint="D9"/>
                <w:lang w:val="zh-CN"/>
              </w:rPr>
              <w:t xml:space="preserve"> </w:t>
            </w:r>
            <w:r w:rsidR="00A00B53">
              <w:rPr>
                <w:rFonts w:hint="eastAsia"/>
                <w:color w:val="262626" w:themeColor="text1" w:themeTint="D9"/>
                <w:lang w:val="zh-CN"/>
              </w:rPr>
              <w:t xml:space="preserve"> </w:t>
            </w:r>
            <w:r w:rsidR="00A00B53">
              <w:rPr>
                <w:b/>
                <w:color w:val="262626" w:themeColor="text1" w:themeTint="D9"/>
                <w:sz w:val="24"/>
                <w:szCs w:val="24"/>
              </w:rPr>
              <w:fldChar w:fldCharType="begin"/>
            </w:r>
            <w:r w:rsidR="00A00B53">
              <w:rPr>
                <w:b/>
                <w:color w:val="262626" w:themeColor="text1" w:themeTint="D9"/>
              </w:rPr>
              <w:instrText>PAGE</w:instrText>
            </w:r>
            <w:r w:rsidR="00A00B53">
              <w:rPr>
                <w:b/>
                <w:color w:val="262626" w:themeColor="text1" w:themeTint="D9"/>
                <w:sz w:val="24"/>
                <w:szCs w:val="24"/>
              </w:rPr>
              <w:fldChar w:fldCharType="separate"/>
            </w:r>
            <w:r w:rsidR="00C4177E">
              <w:rPr>
                <w:b/>
                <w:noProof/>
                <w:color w:val="262626" w:themeColor="text1" w:themeTint="D9"/>
              </w:rPr>
              <w:t>1</w:t>
            </w:r>
            <w:r w:rsidR="00A00B53">
              <w:rPr>
                <w:b/>
                <w:color w:val="262626" w:themeColor="text1" w:themeTint="D9"/>
                <w:sz w:val="24"/>
                <w:szCs w:val="24"/>
              </w:rPr>
              <w:fldChar w:fldCharType="end"/>
            </w:r>
            <w:r w:rsidR="00A00B53">
              <w:rPr>
                <w:color w:val="262626" w:themeColor="text1" w:themeTint="D9"/>
                <w:lang w:val="zh-CN"/>
              </w:rPr>
              <w:t xml:space="preserve"> / </w:t>
            </w:r>
            <w:r w:rsidR="00A00B53">
              <w:rPr>
                <w:b/>
                <w:color w:val="262626" w:themeColor="text1" w:themeTint="D9"/>
                <w:sz w:val="24"/>
                <w:szCs w:val="24"/>
              </w:rPr>
              <w:fldChar w:fldCharType="begin"/>
            </w:r>
            <w:r w:rsidR="00A00B53">
              <w:rPr>
                <w:b/>
                <w:color w:val="262626" w:themeColor="text1" w:themeTint="D9"/>
              </w:rPr>
              <w:instrText>NUMPAGES</w:instrText>
            </w:r>
            <w:r w:rsidR="00A00B53">
              <w:rPr>
                <w:b/>
                <w:color w:val="262626" w:themeColor="text1" w:themeTint="D9"/>
                <w:sz w:val="24"/>
                <w:szCs w:val="24"/>
              </w:rPr>
              <w:fldChar w:fldCharType="separate"/>
            </w:r>
            <w:r w:rsidR="00C4177E">
              <w:rPr>
                <w:b/>
                <w:noProof/>
                <w:color w:val="262626" w:themeColor="text1" w:themeTint="D9"/>
              </w:rPr>
              <w:t>4</w:t>
            </w:r>
            <w:r w:rsidR="00A00B53">
              <w:rPr>
                <w:b/>
                <w:color w:val="262626" w:themeColor="text1" w:themeTint="D9"/>
                <w:sz w:val="24"/>
                <w:szCs w:val="24"/>
              </w:rPr>
              <w:fldChar w:fldCharType="end"/>
            </w:r>
          </w:sdtContent>
        </w:sdt>
      </w:sdtContent>
    </w:sdt>
  </w:p>
  <w:p w14:paraId="78ADA826" w14:textId="77777777" w:rsidR="00745A9B" w:rsidRDefault="00745A9B">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9C5ED" w14:textId="77777777" w:rsidR="00F65F10" w:rsidRDefault="00F65F10">
      <w:r>
        <w:separator/>
      </w:r>
    </w:p>
  </w:footnote>
  <w:footnote w:type="continuationSeparator" w:id="0">
    <w:p w14:paraId="46045488" w14:textId="77777777" w:rsidR="00F65F10" w:rsidRDefault="00F65F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405C3" w14:textId="77777777" w:rsidR="00745A9B" w:rsidRDefault="00745A9B">
    <w:pPr>
      <w:pStyle w:val="a5"/>
      <w:pBdr>
        <w:bottom w:val="none" w:sz="0" w:space="0" w:color="auto"/>
      </w:pBdr>
      <w:tabs>
        <w:tab w:val="left" w:pos="0"/>
      </w:tabs>
      <w:ind w:leftChars="-202" w:left="-485" w:rightChars="-202" w:right="-485"/>
      <w:jc w:val="left"/>
      <w:rPr>
        <w:sz w:val="24"/>
      </w:rPr>
    </w:pPr>
  </w:p>
  <w:p w14:paraId="317DEE52" w14:textId="77777777" w:rsidR="00745A9B" w:rsidRDefault="00745A9B">
    <w:pPr>
      <w:pStyle w:val="a5"/>
      <w:pBdr>
        <w:bottom w:val="none" w:sz="0" w:space="0" w:color="auto"/>
      </w:pBdr>
      <w:tabs>
        <w:tab w:val="left" w:pos="0"/>
      </w:tabs>
      <w:ind w:leftChars="-202" w:left="-485" w:rightChars="-202" w:right="-485"/>
      <w:rPr>
        <w:sz w:val="24"/>
      </w:rPr>
    </w:pPr>
  </w:p>
  <w:p w14:paraId="472C8985" w14:textId="77777777" w:rsidR="00745A9B" w:rsidRDefault="00745A9B">
    <w:pPr>
      <w:pStyle w:val="a5"/>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A9B"/>
    <w:rsid w:val="000C6E96"/>
    <w:rsid w:val="001407FD"/>
    <w:rsid w:val="002E5DC6"/>
    <w:rsid w:val="003C7BAC"/>
    <w:rsid w:val="003E2204"/>
    <w:rsid w:val="00466F7F"/>
    <w:rsid w:val="00683B7C"/>
    <w:rsid w:val="00684F42"/>
    <w:rsid w:val="00745A9B"/>
    <w:rsid w:val="007E17BA"/>
    <w:rsid w:val="007F212F"/>
    <w:rsid w:val="00861FBA"/>
    <w:rsid w:val="0092126B"/>
    <w:rsid w:val="009D3BDF"/>
    <w:rsid w:val="00A00B53"/>
    <w:rsid w:val="00A02EDF"/>
    <w:rsid w:val="00A43E8A"/>
    <w:rsid w:val="00B12C08"/>
    <w:rsid w:val="00C4177E"/>
    <w:rsid w:val="00C926E3"/>
    <w:rsid w:val="00F65F10"/>
    <w:rsid w:val="00FD1C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73C27"/>
  <w15:docId w15:val="{E215ECAC-6D29-054B-A2A4-EACB81795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5">
    <w:name w:val="header"/>
    <w:basedOn w:val="a"/>
    <w:link w:val="a6"/>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sz w:val="18"/>
      <w:szCs w:val="18"/>
      <w:lang w:val="en-US"/>
    </w:rPr>
  </w:style>
  <w:style w:type="character" w:customStyle="1" w:styleId="a6">
    <w:name w:val="页眉 字符"/>
    <w:basedOn w:val="a0"/>
    <w:link w:val="a5"/>
    <w:uiPriority w:val="99"/>
    <w:qFormat/>
    <w:rPr>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李昭仪</cp:lastModifiedBy>
  <cp:revision>15</cp:revision>
  <dcterms:created xsi:type="dcterms:W3CDTF">2021-07-15T10:20:00Z</dcterms:created>
  <dcterms:modified xsi:type="dcterms:W3CDTF">2021-07-16T01:59:00Z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D4F3C4CEC1FBCCAED8FEEF605EC1EDCB</vt:lpwstr>
  </property>
  <property fmtid="{D5CDD505-2E9C-101B-9397-08002B2CF9AE}" pid="3" name="KSOProductBuildVer">
    <vt:lpwstr>2052-11.11.0</vt:lpwstr>
  </property>
</Properties>
</file>